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4B" w:rsidRDefault="001C213F">
      <w:pPr>
        <w:tabs>
          <w:tab w:val="left" w:pos="9638"/>
        </w:tabs>
        <w:spacing w:line="360" w:lineRule="auto"/>
        <w:ind w:left="9078" w:hanging="9078"/>
        <w:jc w:val="left"/>
        <w:outlineLvl w:val="1"/>
        <w:rPr>
          <w:rFonts w:ascii="仿宋" w:eastAsia="Times New Roman" w:hAnsi="Times New Roman"/>
          <w:b/>
          <w:color w:val="000000" w:themeColor="text1"/>
          <w:sz w:val="32"/>
          <w:szCs w:val="32"/>
        </w:rPr>
      </w:pPr>
      <w:r>
        <w:rPr>
          <w:rFonts w:ascii="仿宋" w:eastAsia="仿宋" w:hAnsi="仿宋"/>
          <w:b/>
          <w:color w:val="000000" w:themeColor="text1"/>
          <w:sz w:val="32"/>
          <w:szCs w:val="32"/>
        </w:rPr>
        <w:t>附件</w:t>
      </w:r>
      <w:r>
        <w:rPr>
          <w:rFonts w:ascii="仿宋" w:eastAsia="仿宋" w:hAnsi="仿宋"/>
          <w:b/>
          <w:color w:val="000000" w:themeColor="text1"/>
          <w:sz w:val="32"/>
          <w:szCs w:val="32"/>
        </w:rPr>
        <w:t>2</w:t>
      </w:r>
      <w:r>
        <w:rPr>
          <w:rFonts w:ascii="仿宋" w:eastAsia="仿宋" w:hAnsi="仿宋"/>
          <w:b/>
          <w:color w:val="000000" w:themeColor="text1"/>
          <w:sz w:val="32"/>
          <w:szCs w:val="32"/>
        </w:rPr>
        <w:t>：</w:t>
      </w:r>
    </w:p>
    <w:p w:rsidR="00A00A4B" w:rsidRDefault="001C213F">
      <w:pPr>
        <w:spacing w:line="360" w:lineRule="auto"/>
        <w:jc w:val="center"/>
        <w:outlineLvl w:val="0"/>
        <w:rPr>
          <w:rFonts w:ascii="仿宋" w:eastAsia="Times New Roman" w:hAnsi="Times New Roman"/>
          <w:b/>
          <w:color w:val="000000" w:themeColor="text1"/>
          <w:sz w:val="32"/>
          <w:szCs w:val="32"/>
        </w:rPr>
      </w:pPr>
      <w:r>
        <w:rPr>
          <w:rFonts w:ascii="黑体" w:eastAsia="黑体" w:hAnsi="黑体"/>
          <w:b/>
          <w:color w:val="000000" w:themeColor="text1"/>
          <w:sz w:val="32"/>
          <w:szCs w:val="32"/>
        </w:rPr>
        <w:t>武汉大学优秀研究生会测评表</w:t>
      </w:r>
    </w:p>
    <w:tbl>
      <w:tblPr>
        <w:tblW w:w="9634"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134"/>
        <w:gridCol w:w="5954"/>
        <w:gridCol w:w="1134"/>
        <w:gridCol w:w="708"/>
      </w:tblGrid>
      <w:tr w:rsidR="002875C0" w:rsidTr="00076677">
        <w:trPr>
          <w:trHeight w:val="575"/>
        </w:trPr>
        <w:tc>
          <w:tcPr>
            <w:tcW w:w="1838" w:type="dxa"/>
            <w:gridSpan w:val="2"/>
            <w:shd w:val="clear" w:color="000000" w:fill="auto"/>
            <w:vAlign w:val="center"/>
          </w:tcPr>
          <w:p w:rsidR="002875C0" w:rsidRDefault="002875C0">
            <w:pPr>
              <w:ind w:left="-63"/>
              <w:jc w:val="center"/>
              <w:rPr>
                <w:rFonts w:ascii="仿宋" w:hAnsi="宋体"/>
                <w:b/>
                <w:color w:val="000000"/>
                <w:sz w:val="22"/>
                <w:szCs w:val="22"/>
              </w:rPr>
            </w:pPr>
            <w:r>
              <w:rPr>
                <w:rFonts w:ascii="仿宋" w:eastAsia="仿宋" w:hAnsi="仿宋"/>
                <w:b/>
                <w:color w:val="000000"/>
                <w:sz w:val="22"/>
                <w:szCs w:val="22"/>
              </w:rPr>
              <w:t>考核项目及分值</w:t>
            </w:r>
          </w:p>
        </w:tc>
        <w:tc>
          <w:tcPr>
            <w:tcW w:w="5954" w:type="dxa"/>
            <w:shd w:val="clear" w:color="000000" w:fill="auto"/>
            <w:vAlign w:val="center"/>
          </w:tcPr>
          <w:p w:rsidR="002875C0" w:rsidRDefault="002875C0">
            <w:pPr>
              <w:ind w:left="-63"/>
              <w:jc w:val="center"/>
              <w:rPr>
                <w:rFonts w:ascii="仿宋" w:hAnsi="宋体"/>
                <w:b/>
                <w:color w:val="000000"/>
                <w:sz w:val="22"/>
                <w:szCs w:val="22"/>
              </w:rPr>
            </w:pPr>
            <w:r>
              <w:rPr>
                <w:rFonts w:ascii="仿宋" w:eastAsia="仿宋" w:hAnsi="仿宋"/>
                <w:b/>
                <w:color w:val="000000"/>
                <w:sz w:val="22"/>
                <w:szCs w:val="22"/>
              </w:rPr>
              <w:t>考核内容</w:t>
            </w:r>
          </w:p>
        </w:tc>
        <w:tc>
          <w:tcPr>
            <w:tcW w:w="1134" w:type="dxa"/>
            <w:shd w:val="clear" w:color="000000" w:fill="auto"/>
            <w:vAlign w:val="center"/>
          </w:tcPr>
          <w:p w:rsidR="002875C0" w:rsidRDefault="002875C0">
            <w:pPr>
              <w:ind w:left="-63"/>
              <w:jc w:val="center"/>
              <w:rPr>
                <w:rFonts w:ascii="仿宋" w:hAnsi="宋体"/>
                <w:b/>
                <w:color w:val="000000"/>
                <w:sz w:val="22"/>
                <w:szCs w:val="22"/>
              </w:rPr>
            </w:pPr>
            <w:r>
              <w:rPr>
                <w:rFonts w:ascii="仿宋" w:eastAsia="仿宋" w:hAnsi="仿宋"/>
                <w:b/>
                <w:color w:val="000000"/>
                <w:sz w:val="22"/>
                <w:szCs w:val="22"/>
              </w:rPr>
              <w:t>分值</w:t>
            </w:r>
          </w:p>
        </w:tc>
        <w:tc>
          <w:tcPr>
            <w:tcW w:w="708" w:type="dxa"/>
            <w:shd w:val="clear" w:color="000000" w:fill="auto"/>
            <w:vAlign w:val="center"/>
          </w:tcPr>
          <w:p w:rsidR="002875C0" w:rsidRDefault="002875C0">
            <w:pPr>
              <w:ind w:left="-63"/>
              <w:jc w:val="center"/>
              <w:rPr>
                <w:rFonts w:ascii="仿宋" w:hAnsi="宋体"/>
                <w:b/>
                <w:color w:val="000000"/>
                <w:sz w:val="22"/>
                <w:szCs w:val="22"/>
              </w:rPr>
            </w:pPr>
            <w:r>
              <w:rPr>
                <w:rFonts w:ascii="仿宋" w:eastAsia="仿宋" w:hAnsi="仿宋"/>
                <w:b/>
                <w:color w:val="000000"/>
                <w:sz w:val="22"/>
                <w:szCs w:val="22"/>
              </w:rPr>
              <w:t>得分</w:t>
            </w:r>
          </w:p>
        </w:tc>
      </w:tr>
      <w:tr w:rsidR="00A00A4B">
        <w:trPr>
          <w:trHeight w:val="933"/>
        </w:trPr>
        <w:tc>
          <w:tcPr>
            <w:tcW w:w="704" w:type="dxa"/>
            <w:vMerge w:val="restart"/>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基础工作考核（满分</w:t>
            </w:r>
            <w:r>
              <w:rPr>
                <w:rFonts w:ascii="仿宋" w:eastAsia="仿宋" w:hAnsi="仿宋"/>
                <w:color w:val="000000"/>
              </w:rPr>
              <w:t>100</w:t>
            </w:r>
            <w:r>
              <w:rPr>
                <w:rFonts w:ascii="仿宋" w:eastAsia="仿宋" w:hAnsi="仿宋"/>
                <w:color w:val="000000"/>
              </w:rPr>
              <w:t>分）</w:t>
            </w:r>
          </w:p>
        </w:tc>
        <w:tc>
          <w:tcPr>
            <w:tcW w:w="1134" w:type="dxa"/>
            <w:vMerge w:val="restart"/>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思想引领（</w:t>
            </w:r>
            <w:r>
              <w:rPr>
                <w:rFonts w:ascii="仿宋" w:eastAsia="仿宋" w:hAnsi="仿宋"/>
                <w:color w:val="000000"/>
              </w:rPr>
              <w:t>10</w:t>
            </w:r>
            <w:r>
              <w:rPr>
                <w:rFonts w:ascii="仿宋" w:eastAsia="仿宋" w:hAnsi="仿宋"/>
                <w:color w:val="000000"/>
              </w:rPr>
              <w:t>分，含校研会办公室综合评定</w:t>
            </w:r>
            <w:r>
              <w:rPr>
                <w:rFonts w:ascii="仿宋" w:eastAsia="仿宋" w:hAnsi="仿宋"/>
                <w:color w:val="000000"/>
              </w:rPr>
              <w:t>2</w:t>
            </w:r>
            <w:r>
              <w:rPr>
                <w:rFonts w:ascii="仿宋" w:eastAsia="仿宋" w:hAnsi="仿宋"/>
                <w:color w:val="000000"/>
              </w:rPr>
              <w:t>分）</w:t>
            </w:r>
          </w:p>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1</w:t>
            </w:r>
            <w:r>
              <w:rPr>
                <w:rFonts w:ascii="仿宋" w:eastAsia="仿宋" w:hAnsi="仿宋"/>
                <w:color w:val="000000"/>
              </w:rPr>
              <w:t>、积极配合学校各类思想引领活动的开展和进行，关注社会热点，积极开展相关活动的理论学习，研讨会形式新颖，内容充</w:t>
            </w:r>
            <w:r>
              <w:rPr>
                <w:rFonts w:ascii="仿宋" w:eastAsia="仿宋" w:hAnsi="仿宋"/>
                <w:color w:val="000000"/>
              </w:rPr>
              <w:t>实，能够调动院系学生积极参与，引导学生坚定信念、健康成长。</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4</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13"/>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2</w:t>
            </w:r>
            <w:r>
              <w:rPr>
                <w:rFonts w:ascii="仿宋" w:eastAsia="仿宋" w:hAnsi="仿宋"/>
                <w:color w:val="000000"/>
              </w:rPr>
              <w:t>、研究生会能积极开展起到思想引领作用的实践服务活动，在同学中营造良好氛围，收到良好的宣传教育效果。</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4</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530"/>
        </w:trPr>
        <w:tc>
          <w:tcPr>
            <w:tcW w:w="704" w:type="dxa"/>
            <w:vMerge/>
            <w:shd w:val="clear" w:color="000000" w:fill="auto"/>
            <w:vAlign w:val="center"/>
          </w:tcPr>
          <w:p w:rsidR="00A00A4B" w:rsidRDefault="00A00A4B"/>
        </w:tc>
        <w:tc>
          <w:tcPr>
            <w:tcW w:w="1134" w:type="dxa"/>
            <w:vMerge w:val="restart"/>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组织建设（</w:t>
            </w:r>
            <w:r>
              <w:rPr>
                <w:rFonts w:ascii="仿宋" w:eastAsia="仿宋" w:hAnsi="仿宋"/>
                <w:color w:val="000000"/>
              </w:rPr>
              <w:t>10</w:t>
            </w:r>
            <w:r>
              <w:rPr>
                <w:rFonts w:ascii="仿宋" w:eastAsia="仿宋" w:hAnsi="仿宋"/>
                <w:color w:val="000000"/>
              </w:rPr>
              <w:t>分）</w:t>
            </w:r>
          </w:p>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1</w:t>
            </w:r>
            <w:r>
              <w:rPr>
                <w:rFonts w:ascii="仿宋" w:eastAsia="仿宋" w:hAnsi="仿宋"/>
                <w:color w:val="000000"/>
              </w:rPr>
              <w:t>、研究生会及研究生会各部门、下属各级组织班子健全，有相应指导老师。</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455"/>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2</w:t>
            </w:r>
            <w:r>
              <w:rPr>
                <w:rFonts w:ascii="仿宋" w:eastAsia="仿宋" w:hAnsi="仿宋"/>
                <w:color w:val="000000"/>
              </w:rPr>
              <w:t>、研究生会及下属组织能按时换届，选举办法规范。</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20"/>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3</w:t>
            </w:r>
            <w:r>
              <w:rPr>
                <w:rFonts w:ascii="仿宋" w:eastAsia="仿宋" w:hAnsi="仿宋"/>
                <w:color w:val="000000"/>
              </w:rPr>
              <w:t>、研究生会能积极争取本单位党组织、分团委（直属团总支）的领导和支持，并自觉接受指导。</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4</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65"/>
        </w:trPr>
        <w:tc>
          <w:tcPr>
            <w:tcW w:w="704" w:type="dxa"/>
            <w:vMerge/>
            <w:shd w:val="clear" w:color="000000" w:fill="auto"/>
            <w:vAlign w:val="center"/>
          </w:tcPr>
          <w:p w:rsidR="00A00A4B" w:rsidRDefault="00A00A4B"/>
        </w:tc>
        <w:tc>
          <w:tcPr>
            <w:tcW w:w="1134" w:type="dxa"/>
            <w:vMerge w:val="restart"/>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制度建设（</w:t>
            </w:r>
            <w:r>
              <w:rPr>
                <w:rFonts w:ascii="仿宋" w:eastAsia="仿宋" w:hAnsi="仿宋"/>
                <w:color w:val="000000"/>
              </w:rPr>
              <w:t>10</w:t>
            </w:r>
            <w:r>
              <w:rPr>
                <w:rFonts w:ascii="仿宋" w:eastAsia="仿宋" w:hAnsi="仿宋"/>
                <w:color w:val="000000"/>
              </w:rPr>
              <w:t>分，含校研会人力资源部综合评定</w:t>
            </w:r>
            <w:r>
              <w:rPr>
                <w:rFonts w:ascii="仿宋" w:eastAsia="仿宋" w:hAnsi="仿宋"/>
                <w:color w:val="000000"/>
              </w:rPr>
              <w:t>2</w:t>
            </w:r>
            <w:r>
              <w:rPr>
                <w:rFonts w:ascii="仿宋" w:eastAsia="仿宋" w:hAnsi="仿宋"/>
                <w:color w:val="000000"/>
              </w:rPr>
              <w:t>分）</w:t>
            </w:r>
          </w:p>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1</w:t>
            </w:r>
            <w:r>
              <w:rPr>
                <w:rFonts w:ascii="仿宋" w:eastAsia="仿宋" w:hAnsi="仿宋"/>
                <w:color w:val="000000"/>
              </w:rPr>
              <w:t>、研究生会工作管理制度完善，工作之初有计划，工作过程中有汇报，工作结束有总结。</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05"/>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2</w:t>
            </w:r>
            <w:r>
              <w:rPr>
                <w:rFonts w:ascii="仿宋" w:eastAsia="仿宋" w:hAnsi="仿宋"/>
                <w:color w:val="000000"/>
              </w:rPr>
              <w:t>、研究生会干部考核制度完善，重视学生干部队伍建设，主要以是否开展定期的干部培训为标准。</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35"/>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3</w:t>
            </w:r>
            <w:r>
              <w:rPr>
                <w:rFonts w:ascii="仿宋" w:eastAsia="仿宋" w:hAnsi="仿宋"/>
                <w:color w:val="000000"/>
              </w:rPr>
              <w:t>、研究生会档案管理制度完善，活动材料有据可查。会议有专人记录，会议记录规范、完整。</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2</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560"/>
        </w:trPr>
        <w:tc>
          <w:tcPr>
            <w:tcW w:w="704" w:type="dxa"/>
            <w:vMerge/>
            <w:shd w:val="clear" w:color="000000" w:fill="auto"/>
            <w:vAlign w:val="center"/>
          </w:tcPr>
          <w:p w:rsidR="00A00A4B" w:rsidRDefault="00A00A4B"/>
        </w:tc>
        <w:tc>
          <w:tcPr>
            <w:tcW w:w="1134" w:type="dxa"/>
            <w:vMerge w:val="restart"/>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宣传工作（</w:t>
            </w:r>
            <w:r>
              <w:rPr>
                <w:rFonts w:ascii="仿宋" w:eastAsia="仿宋" w:hAnsi="仿宋"/>
                <w:color w:val="000000"/>
              </w:rPr>
              <w:t>15</w:t>
            </w:r>
            <w:r>
              <w:rPr>
                <w:rFonts w:ascii="仿宋" w:eastAsia="仿宋" w:hAnsi="仿宋"/>
                <w:color w:val="000000"/>
              </w:rPr>
              <w:t>分）</w:t>
            </w:r>
          </w:p>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1</w:t>
            </w:r>
            <w:r>
              <w:rPr>
                <w:rFonts w:ascii="仿宋" w:eastAsia="仿宋" w:hAnsi="仿宋"/>
                <w:color w:val="000000"/>
              </w:rPr>
              <w:t>、能充分利用新媒体平台、网站、印刷材料等各类线上线下宣传平台渠道发布或印发弘扬正能量、唱响主旋律的推文或稿件。</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10"/>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2</w:t>
            </w:r>
            <w:r>
              <w:rPr>
                <w:rFonts w:ascii="仿宋" w:eastAsia="仿宋" w:hAnsi="仿宋"/>
                <w:color w:val="000000"/>
              </w:rPr>
              <w:t>、能充分利用院系网站、报刊、广播、宣传栏、板报等各类宣</w:t>
            </w:r>
            <w:r>
              <w:rPr>
                <w:rFonts w:ascii="仿宋" w:eastAsia="仿宋" w:hAnsi="仿宋"/>
                <w:color w:val="000000"/>
              </w:rPr>
              <w:t>传渠道积极开展宣传工作。</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2</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785"/>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3</w:t>
            </w:r>
            <w:r>
              <w:rPr>
                <w:rFonts w:ascii="仿宋" w:eastAsia="仿宋" w:hAnsi="仿宋"/>
                <w:color w:val="000000"/>
              </w:rPr>
              <w:t>、积极向校内全校性媒体（如武汉大学网、武汉大学未来网、党委研究生工作部网等）及校外媒体投稿，宣传稿件作者必须为本单位研究生会或其成员。</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20"/>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4</w:t>
            </w:r>
            <w:r>
              <w:rPr>
                <w:rFonts w:ascii="仿宋" w:eastAsia="仿宋" w:hAnsi="仿宋"/>
                <w:color w:val="000000"/>
              </w:rPr>
              <w:t>、建有院系研究生会宣传平台，具备微信、微博等新媒体平台，充分利用相关平台并取得良好的宣传效果。</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4</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800"/>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5</w:t>
            </w:r>
            <w:r>
              <w:rPr>
                <w:rFonts w:ascii="仿宋" w:eastAsia="仿宋" w:hAnsi="仿宋"/>
                <w:color w:val="000000"/>
              </w:rPr>
              <w:t>、通过武汉大学研究生会官方微信平台发布彰显培养单位研究生风貌，弘扬研究生同学、研会干部的精神与风采的推送（</w:t>
            </w:r>
            <w:r>
              <w:rPr>
                <w:rFonts w:ascii="仿宋" w:eastAsia="仿宋" w:hAnsi="仿宋"/>
                <w:color w:val="000000"/>
              </w:rPr>
              <w:t>若参评期间内无投稿则取消该院优秀研究生会参评资格</w:t>
            </w:r>
            <w:r>
              <w:rPr>
                <w:rFonts w:ascii="仿宋" w:eastAsia="仿宋" w:hAnsi="仿宋"/>
                <w:color w:val="000000"/>
              </w:rPr>
              <w:t>）。</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560"/>
        </w:trPr>
        <w:tc>
          <w:tcPr>
            <w:tcW w:w="704" w:type="dxa"/>
            <w:vMerge/>
            <w:shd w:val="clear" w:color="000000" w:fill="auto"/>
            <w:vAlign w:val="center"/>
          </w:tcPr>
          <w:p w:rsidR="00A00A4B" w:rsidRDefault="00A00A4B"/>
        </w:tc>
        <w:tc>
          <w:tcPr>
            <w:tcW w:w="1134" w:type="dxa"/>
            <w:vMerge w:val="restart"/>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学术科技创新工作（</w:t>
            </w:r>
            <w:r>
              <w:rPr>
                <w:rFonts w:ascii="仿宋" w:eastAsia="仿宋" w:hAnsi="仿宋"/>
                <w:color w:val="000000"/>
              </w:rPr>
              <w:t>15</w:t>
            </w:r>
            <w:r>
              <w:rPr>
                <w:rFonts w:ascii="仿宋" w:eastAsia="仿宋" w:hAnsi="仿宋"/>
                <w:color w:val="000000"/>
              </w:rPr>
              <w:t>分）</w:t>
            </w:r>
          </w:p>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1</w:t>
            </w:r>
            <w:r>
              <w:rPr>
                <w:rFonts w:ascii="仿宋" w:eastAsia="仿宋" w:hAnsi="仿宋"/>
                <w:color w:val="000000"/>
              </w:rPr>
              <w:t>、研究生会能够开展丰富多彩的学术科技活动，增强学院学术氛围。</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6</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590"/>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2</w:t>
            </w:r>
            <w:r>
              <w:rPr>
                <w:rFonts w:ascii="仿宋" w:eastAsia="仿宋" w:hAnsi="仿宋"/>
                <w:color w:val="000000"/>
              </w:rPr>
              <w:t>、研究生</w:t>
            </w:r>
            <w:bookmarkStart w:id="0" w:name="_GoBack"/>
            <w:bookmarkEnd w:id="0"/>
            <w:r>
              <w:rPr>
                <w:rFonts w:ascii="仿宋" w:eastAsia="仿宋" w:hAnsi="仿宋"/>
                <w:color w:val="000000"/>
              </w:rPr>
              <w:t>会能够积极利用资源，及时有效地</w:t>
            </w:r>
            <w:r>
              <w:rPr>
                <w:rFonts w:ascii="仿宋" w:eastAsia="仿宋" w:hAnsi="仿宋"/>
                <w:color w:val="000000"/>
              </w:rPr>
              <w:t>以本培养单位研究生会的名义传达各类学术信息。</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410"/>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3</w:t>
            </w:r>
            <w:r>
              <w:rPr>
                <w:rFonts w:ascii="仿宋" w:eastAsia="仿宋" w:hAnsi="仿宋"/>
                <w:color w:val="000000"/>
              </w:rPr>
              <w:t>、研究生会能够积极鼓励引导学生科技、学术创新。</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6</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35"/>
        </w:trPr>
        <w:tc>
          <w:tcPr>
            <w:tcW w:w="704" w:type="dxa"/>
            <w:vMerge/>
            <w:shd w:val="clear" w:color="000000" w:fill="auto"/>
            <w:vAlign w:val="center"/>
          </w:tcPr>
          <w:p w:rsidR="00A00A4B" w:rsidRDefault="00A00A4B"/>
        </w:tc>
        <w:tc>
          <w:tcPr>
            <w:tcW w:w="1134" w:type="dxa"/>
            <w:vMerge w:val="restart"/>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校园文体活动（</w:t>
            </w:r>
            <w:r>
              <w:rPr>
                <w:rFonts w:ascii="仿宋" w:eastAsia="仿宋" w:hAnsi="仿宋"/>
                <w:color w:val="000000"/>
              </w:rPr>
              <w:t>10</w:t>
            </w:r>
            <w:r>
              <w:rPr>
                <w:rFonts w:ascii="仿宋" w:eastAsia="仿宋" w:hAnsi="仿宋"/>
                <w:color w:val="000000"/>
              </w:rPr>
              <w:t>分）</w:t>
            </w:r>
          </w:p>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1</w:t>
            </w:r>
            <w:r>
              <w:rPr>
                <w:rFonts w:ascii="仿宋" w:eastAsia="仿宋" w:hAnsi="仿宋"/>
                <w:color w:val="000000"/>
              </w:rPr>
              <w:t>、研究生会能够通过建立激励机制，鼓励学生积极参加课外活动及社会实践。</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5</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1070"/>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2</w:t>
            </w:r>
            <w:r>
              <w:rPr>
                <w:rFonts w:ascii="仿宋" w:eastAsia="仿宋" w:hAnsi="仿宋"/>
                <w:color w:val="000000"/>
              </w:rPr>
              <w:t>、研究生会能够结合实际，积极开展各类校园文化活动，开展能够体现学院特色的主题活动，努力打造丰富多彩的第二课堂；能够创新活动方式、加强宣传力度、扩大活动范围、加强与</w:t>
            </w:r>
            <w:r>
              <w:rPr>
                <w:rFonts w:ascii="仿宋" w:eastAsia="仿宋" w:hAnsi="仿宋"/>
                <w:color w:val="000000"/>
              </w:rPr>
              <w:t>外校交流。</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5</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567"/>
        </w:trPr>
        <w:tc>
          <w:tcPr>
            <w:tcW w:w="704" w:type="dxa"/>
            <w:vMerge/>
            <w:shd w:val="clear" w:color="000000" w:fill="auto"/>
            <w:vAlign w:val="center"/>
          </w:tcPr>
          <w:p w:rsidR="00A00A4B" w:rsidRDefault="00A00A4B"/>
        </w:tc>
        <w:tc>
          <w:tcPr>
            <w:tcW w:w="1134" w:type="dxa"/>
            <w:vMerge w:val="restart"/>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维权工作（</w:t>
            </w:r>
            <w:r>
              <w:rPr>
                <w:rFonts w:ascii="仿宋" w:eastAsia="仿宋" w:hAnsi="仿宋"/>
                <w:color w:val="000000"/>
              </w:rPr>
              <w:t>10</w:t>
            </w:r>
            <w:r>
              <w:rPr>
                <w:rFonts w:ascii="仿宋" w:eastAsia="仿宋" w:hAnsi="仿宋"/>
                <w:color w:val="000000"/>
              </w:rPr>
              <w:t>分，含校研会生活权益部综合评定</w:t>
            </w:r>
            <w:r>
              <w:rPr>
                <w:rFonts w:ascii="仿宋" w:eastAsia="仿宋" w:hAnsi="仿宋"/>
                <w:color w:val="000000"/>
              </w:rPr>
              <w:t>2</w:t>
            </w:r>
            <w:r>
              <w:rPr>
                <w:rFonts w:ascii="仿宋" w:eastAsia="仿宋" w:hAnsi="仿宋"/>
                <w:color w:val="000000"/>
              </w:rPr>
              <w:t>分）</w:t>
            </w:r>
          </w:p>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1</w:t>
            </w:r>
            <w:r>
              <w:rPr>
                <w:rFonts w:ascii="仿宋" w:eastAsia="仿宋" w:hAnsi="仿宋"/>
                <w:color w:val="000000"/>
              </w:rPr>
              <w:t>、研究生会重视维权工作，有相应的工作部门和工作计划。</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1</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35"/>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2</w:t>
            </w:r>
            <w:r>
              <w:rPr>
                <w:rFonts w:ascii="仿宋" w:eastAsia="仿宋" w:hAnsi="仿宋"/>
                <w:color w:val="000000"/>
              </w:rPr>
              <w:t>、研究生会与广大同学沟通紧密，有一定的联系渠道，能切实解决同学们生活中的各种权益问题。</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905"/>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3</w:t>
            </w:r>
            <w:r>
              <w:rPr>
                <w:rFonts w:ascii="仿宋" w:eastAsia="仿宋" w:hAnsi="仿宋"/>
                <w:color w:val="000000"/>
              </w:rPr>
              <w:t>、</w:t>
            </w:r>
            <w:r>
              <w:rPr>
                <w:rFonts w:ascii="仿宋" w:eastAsia="仿宋" w:hAnsi="仿宋"/>
                <w:color w:val="000000"/>
              </w:rPr>
              <w:t>积极收集和整理同学在校园生活、学校建设等方面所提出的建议与问题，形成正式提案，并为校研会采纳作为校领导接待学生日提案或作为院系提案代表在校领导接待学生日上发言。</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4</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808"/>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4</w:t>
            </w:r>
            <w:r>
              <w:rPr>
                <w:rFonts w:ascii="仿宋" w:eastAsia="仿宋" w:hAnsi="仿宋"/>
                <w:color w:val="000000"/>
              </w:rPr>
              <w:t>、校研会根据各培养单位研究生会权益部门的日常表现和参</w:t>
            </w:r>
            <w:r>
              <w:rPr>
                <w:rFonts w:ascii="仿宋" w:eastAsia="仿宋" w:hAnsi="仿宋"/>
                <w:color w:val="000000"/>
              </w:rPr>
              <w:t>与、配合校研会相关权益工作的情况对各培养单位研究生会维权工作进行综合评定。</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2</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703"/>
        </w:trPr>
        <w:tc>
          <w:tcPr>
            <w:tcW w:w="704" w:type="dxa"/>
            <w:vMerge/>
            <w:shd w:val="clear" w:color="000000" w:fill="auto"/>
            <w:vAlign w:val="center"/>
          </w:tcPr>
          <w:p w:rsidR="00A00A4B" w:rsidRDefault="00A00A4B"/>
        </w:tc>
        <w:tc>
          <w:tcPr>
            <w:tcW w:w="1134" w:type="dxa"/>
            <w:vMerge w:val="restart"/>
            <w:shd w:val="clear" w:color="000000" w:fill="auto"/>
            <w:vAlign w:val="center"/>
          </w:tcPr>
          <w:p w:rsidR="00A00A4B" w:rsidRDefault="001C213F">
            <w:pPr>
              <w:spacing w:line="220" w:lineRule="exact"/>
              <w:ind w:left="-63"/>
              <w:jc w:val="center"/>
              <w:rPr>
                <w:rFonts w:ascii="仿宋" w:eastAsia="Times New Roman" w:hAnsi="Times New Roman"/>
              </w:rPr>
            </w:pPr>
            <w:r>
              <w:rPr>
                <w:rFonts w:ascii="仿宋" w:eastAsia="仿宋" w:hAnsi="仿宋"/>
              </w:rPr>
              <w:t>心理健康教育（</w:t>
            </w:r>
            <w:r>
              <w:rPr>
                <w:rFonts w:ascii="仿宋" w:eastAsia="仿宋" w:hAnsi="仿宋"/>
              </w:rPr>
              <w:t>10</w:t>
            </w:r>
            <w:r>
              <w:rPr>
                <w:rFonts w:ascii="仿宋" w:eastAsia="仿宋" w:hAnsi="仿宋"/>
              </w:rPr>
              <w:t>分，含校研会心理互助部综合评定</w:t>
            </w:r>
            <w:r>
              <w:rPr>
                <w:rFonts w:ascii="仿宋" w:eastAsia="仿宋" w:hAnsi="仿宋"/>
              </w:rPr>
              <w:t>2</w:t>
            </w:r>
            <w:r>
              <w:rPr>
                <w:rFonts w:ascii="仿宋" w:eastAsia="仿宋" w:hAnsi="仿宋"/>
              </w:rPr>
              <w:t>分）</w:t>
            </w:r>
          </w:p>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1</w:t>
            </w:r>
            <w:r>
              <w:rPr>
                <w:rFonts w:ascii="仿宋" w:eastAsia="仿宋" w:hAnsi="仿宋"/>
                <w:color w:val="000000"/>
              </w:rPr>
              <w:t>、研究生会重视心理健康教育工作，有相应的工作部门和工作计划。</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2</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43"/>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2</w:t>
            </w:r>
            <w:r>
              <w:rPr>
                <w:rFonts w:ascii="仿宋" w:eastAsia="仿宋" w:hAnsi="仿宋"/>
                <w:color w:val="000000"/>
              </w:rPr>
              <w:t>、研究生会与广大同学沟通紧密，有一定的联系渠道，能切实解决同学们生活中的各种心理问题。</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2</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73"/>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3</w:t>
            </w:r>
            <w:r>
              <w:rPr>
                <w:rFonts w:ascii="仿宋" w:eastAsia="仿宋" w:hAnsi="仿宋"/>
                <w:color w:val="000000"/>
              </w:rPr>
              <w:t>、各培养单位研究生会自主举办与心理健康教育相关的活动，并能提供相关材料作为证明。</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4</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913"/>
        </w:trPr>
        <w:tc>
          <w:tcPr>
            <w:tcW w:w="704" w:type="dxa"/>
            <w:vMerge/>
            <w:shd w:val="clear" w:color="000000" w:fill="auto"/>
            <w:vAlign w:val="center"/>
          </w:tcPr>
          <w:p w:rsidR="00A00A4B" w:rsidRDefault="00A00A4B"/>
        </w:tc>
        <w:tc>
          <w:tcPr>
            <w:tcW w:w="1134" w:type="dxa"/>
            <w:vMerge w:val="restart"/>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就业与交友服务（</w:t>
            </w:r>
            <w:r>
              <w:rPr>
                <w:rFonts w:ascii="仿宋" w:eastAsia="仿宋" w:hAnsi="仿宋"/>
                <w:color w:val="000000"/>
              </w:rPr>
              <w:t>10</w:t>
            </w:r>
            <w:r>
              <w:rPr>
                <w:rFonts w:ascii="仿宋" w:eastAsia="仿宋" w:hAnsi="仿宋"/>
                <w:color w:val="000000"/>
              </w:rPr>
              <w:t>分）</w:t>
            </w:r>
          </w:p>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1</w:t>
            </w:r>
            <w:r>
              <w:rPr>
                <w:rFonts w:ascii="仿宋" w:eastAsia="仿宋" w:hAnsi="仿宋"/>
                <w:color w:val="000000"/>
              </w:rPr>
              <w:t>、各培养单位研究生会自身应积极服务同学就业择业需求，及</w:t>
            </w:r>
            <w:r>
              <w:rPr>
                <w:rFonts w:ascii="仿宋" w:eastAsia="仿宋" w:hAnsi="仿宋"/>
                <w:color w:val="000000"/>
              </w:rPr>
              <w:t>时传达各种就业信息，以促进全院研究生成功就业为目标，提高研究生综合素养和求职竞争力。</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2</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853"/>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2</w:t>
            </w:r>
            <w:r>
              <w:rPr>
                <w:rFonts w:ascii="仿宋" w:eastAsia="仿宋" w:hAnsi="仿宋"/>
                <w:color w:val="000000"/>
              </w:rPr>
              <w:t>、各培养单位研究生会能够组织开展同学关注的创业就业类活动。培养单位研究生会须提供相关的活动总结、宣传报道等材料作为证明。</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928"/>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3</w:t>
            </w:r>
            <w:r>
              <w:rPr>
                <w:rFonts w:ascii="仿宋" w:eastAsia="仿宋" w:hAnsi="仿宋"/>
                <w:color w:val="000000"/>
              </w:rPr>
              <w:t>、各培养单位研究生会自身应积极服务同学联谊交友需求，尤其关注本单位博士生群体联谊交友需求，为研究生更好地提供交友支持、引导和权益保障。</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2</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24"/>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4</w:t>
            </w:r>
            <w:r>
              <w:rPr>
                <w:rFonts w:ascii="仿宋" w:eastAsia="仿宋" w:hAnsi="仿宋"/>
                <w:color w:val="000000"/>
              </w:rPr>
              <w:t>、各培养单位研究生会能够组织开展同学关注的联谊交友类活动。培养单位研究生会必须提供相关材料作为证明。</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605"/>
        </w:trPr>
        <w:tc>
          <w:tcPr>
            <w:tcW w:w="704" w:type="dxa"/>
            <w:vMerge w:val="restart"/>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其它事项</w:t>
            </w:r>
          </w:p>
        </w:tc>
        <w:tc>
          <w:tcPr>
            <w:tcW w:w="1134" w:type="dxa"/>
            <w:vMerge w:val="restart"/>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themeColor="text1"/>
              </w:rPr>
              <w:t>加分项</w:t>
            </w:r>
          </w:p>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1</w:t>
            </w:r>
            <w:r>
              <w:rPr>
                <w:rFonts w:ascii="仿宋" w:eastAsia="仿宋" w:hAnsi="仿宋"/>
                <w:color w:val="000000"/>
              </w:rPr>
              <w:t>、承办、协办或参与校研会活动，积极推荐博士研究生参与博士沙龙。</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10</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465"/>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2</w:t>
            </w:r>
            <w:r>
              <w:rPr>
                <w:rFonts w:ascii="仿宋" w:eastAsia="仿宋" w:hAnsi="仿宋"/>
                <w:color w:val="000000"/>
              </w:rPr>
              <w:t>、在校研会举办的以院系为单位的活动中获得的团体或个人奖项。</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10</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320"/>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3</w:t>
            </w:r>
            <w:r>
              <w:rPr>
                <w:rFonts w:ascii="仿宋" w:eastAsia="仿宋" w:hAnsi="仿宋"/>
                <w:color w:val="000000"/>
              </w:rPr>
              <w:t>、干部任职。</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5</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353"/>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4</w:t>
            </w:r>
            <w:r>
              <w:rPr>
                <w:rFonts w:ascii="仿宋" w:eastAsia="仿宋" w:hAnsi="仿宋"/>
                <w:color w:val="000000"/>
              </w:rPr>
              <w:t>、成员荣誉。</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5</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338"/>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5</w:t>
            </w:r>
            <w:r>
              <w:rPr>
                <w:rFonts w:ascii="仿宋" w:eastAsia="仿宋" w:hAnsi="仿宋"/>
                <w:color w:val="000000"/>
              </w:rPr>
              <w:t>、建设</w:t>
            </w:r>
            <w:r>
              <w:rPr>
                <w:rFonts w:ascii="仿宋" w:eastAsia="仿宋" w:hAnsi="仿宋"/>
                <w:color w:val="000000"/>
              </w:rPr>
              <w:t>“</w:t>
            </w:r>
            <w:r>
              <w:rPr>
                <w:rFonts w:ascii="仿宋" w:eastAsia="仿宋" w:hAnsi="仿宋"/>
                <w:color w:val="000000"/>
              </w:rPr>
              <w:t>新时代</w:t>
            </w:r>
            <w:r>
              <w:rPr>
                <w:rFonts w:ascii="仿宋" w:eastAsia="仿宋" w:hAnsi="仿宋"/>
                <w:color w:val="000000"/>
              </w:rPr>
              <w:t>”</w:t>
            </w:r>
            <w:r>
              <w:rPr>
                <w:rFonts w:ascii="仿宋" w:eastAsia="仿宋" w:hAnsi="仿宋"/>
                <w:color w:val="000000"/>
              </w:rPr>
              <w:t>研会。</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319"/>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6</w:t>
            </w:r>
            <w:r>
              <w:rPr>
                <w:rFonts w:ascii="仿宋" w:eastAsia="仿宋" w:hAnsi="仿宋"/>
                <w:color w:val="000000"/>
              </w:rPr>
              <w:t>、参与研会</w:t>
            </w:r>
            <w:r>
              <w:rPr>
                <w:rFonts w:ascii="仿宋" w:eastAsia="仿宋" w:hAnsi="仿宋"/>
                <w:color w:val="000000"/>
              </w:rPr>
              <w:t>“</w:t>
            </w:r>
            <w:r>
              <w:rPr>
                <w:rFonts w:ascii="仿宋" w:eastAsia="仿宋" w:hAnsi="仿宋"/>
                <w:color w:val="000000"/>
              </w:rPr>
              <w:t>新时代</w:t>
            </w:r>
            <w:r>
              <w:rPr>
                <w:rFonts w:ascii="仿宋" w:eastAsia="仿宋" w:hAnsi="仿宋"/>
                <w:color w:val="000000"/>
              </w:rPr>
              <w:t>”</w:t>
            </w:r>
            <w:r>
              <w:rPr>
                <w:rFonts w:ascii="仿宋" w:eastAsia="仿宋" w:hAnsi="仿宋"/>
                <w:color w:val="000000"/>
              </w:rPr>
              <w:t>研会思想建设。</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3</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563"/>
        </w:trPr>
        <w:tc>
          <w:tcPr>
            <w:tcW w:w="704" w:type="dxa"/>
            <w:vMerge/>
            <w:shd w:val="clear" w:color="000000" w:fill="auto"/>
            <w:vAlign w:val="center"/>
          </w:tcPr>
          <w:p w:rsidR="00A00A4B" w:rsidRDefault="00A00A4B"/>
        </w:tc>
        <w:tc>
          <w:tcPr>
            <w:tcW w:w="1134" w:type="dxa"/>
            <w:vMerge w:val="restart"/>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扣分项</w:t>
            </w:r>
          </w:p>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1</w:t>
            </w:r>
            <w:r>
              <w:rPr>
                <w:rFonts w:ascii="仿宋" w:eastAsia="仿宋" w:hAnsi="仿宋"/>
                <w:color w:val="000000"/>
              </w:rPr>
              <w:t>、培养单位研究生会未能有效承担政治和舆情责任，因未能及时上报信息造成负面舆情事件。</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取消资格</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590"/>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2</w:t>
            </w:r>
            <w:r>
              <w:rPr>
                <w:rFonts w:ascii="仿宋" w:eastAsia="仿宋" w:hAnsi="仿宋"/>
                <w:color w:val="000000"/>
              </w:rPr>
              <w:t>、培养单位研究生会宣传平台管理员权限未转移给指导教师，存在舆情隐患。</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10</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335"/>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eastAsia="仿宋" w:hAnsi="仿宋"/>
                <w:color w:val="000000"/>
              </w:rPr>
            </w:pPr>
            <w:r>
              <w:rPr>
                <w:rFonts w:ascii="仿宋" w:eastAsia="仿宋" w:hAnsi="仿宋"/>
                <w:color w:val="000000"/>
              </w:rPr>
              <w:t>3</w:t>
            </w:r>
            <w:r>
              <w:rPr>
                <w:rFonts w:ascii="仿宋" w:eastAsia="仿宋" w:hAnsi="仿宋"/>
                <w:color w:val="000000"/>
              </w:rPr>
              <w:t>、培养单位研究生会骨干人数超过所服务学生群体人数</w:t>
            </w:r>
            <w:r>
              <w:rPr>
                <w:rFonts w:ascii="仿宋" w:eastAsia="仿宋" w:hAnsi="仿宋"/>
                <w:color w:val="000000"/>
              </w:rPr>
              <w:t>1%</w:t>
            </w:r>
            <w:r>
              <w:rPr>
                <w:rFonts w:ascii="仿宋" w:eastAsia="仿宋" w:hAnsi="仿宋"/>
                <w:color w:val="000000"/>
              </w:rPr>
              <w:t>。</w:t>
            </w:r>
          </w:p>
        </w:tc>
        <w:tc>
          <w:tcPr>
            <w:tcW w:w="1134" w:type="dxa"/>
            <w:shd w:val="clear" w:color="000000" w:fill="auto"/>
            <w:vAlign w:val="center"/>
          </w:tcPr>
          <w:p w:rsidR="00A00A4B" w:rsidRDefault="001C213F">
            <w:pPr>
              <w:spacing w:line="220" w:lineRule="exact"/>
              <w:ind w:left="-63"/>
              <w:jc w:val="center"/>
              <w:rPr>
                <w:rFonts w:ascii="仿宋" w:eastAsia="仿宋" w:hAnsi="仿宋"/>
                <w:color w:val="000000"/>
              </w:rPr>
            </w:pPr>
            <w:r>
              <w:rPr>
                <w:rFonts w:ascii="仿宋" w:eastAsia="仿宋" w:hAnsi="仿宋"/>
                <w:color w:val="000000"/>
              </w:rPr>
              <w:t>5</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305"/>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4</w:t>
            </w:r>
            <w:r>
              <w:rPr>
                <w:rFonts w:ascii="仿宋" w:eastAsia="仿宋" w:hAnsi="仿宋"/>
                <w:color w:val="000000"/>
              </w:rPr>
              <w:t>、不能按期规范换届。</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5</w:t>
            </w:r>
          </w:p>
        </w:tc>
        <w:tc>
          <w:tcPr>
            <w:tcW w:w="708" w:type="dxa"/>
            <w:shd w:val="clear" w:color="000000" w:fill="auto"/>
            <w:vAlign w:val="center"/>
          </w:tcPr>
          <w:p w:rsidR="00A00A4B" w:rsidRDefault="00A00A4B">
            <w:pPr>
              <w:spacing w:line="220" w:lineRule="exact"/>
              <w:ind w:left="-63"/>
              <w:jc w:val="right"/>
              <w:rPr>
                <w:rFonts w:ascii="仿宋" w:hAnsi="宋体"/>
                <w:color w:val="000000"/>
              </w:rPr>
            </w:pPr>
          </w:p>
        </w:tc>
      </w:tr>
      <w:tr w:rsidR="00A00A4B">
        <w:trPr>
          <w:trHeight w:val="365"/>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5</w:t>
            </w:r>
            <w:r>
              <w:rPr>
                <w:rFonts w:ascii="仿宋" w:eastAsia="仿宋" w:hAnsi="仿宋"/>
                <w:color w:val="000000"/>
              </w:rPr>
              <w:t>、无故缺席校研究生会相关会议。</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0.3-3</w:t>
            </w:r>
            <w:r>
              <w:rPr>
                <w:rFonts w:ascii="仿宋" w:eastAsia="仿宋" w:hAnsi="仿宋"/>
                <w:color w:val="000000"/>
              </w:rPr>
              <w:t>分</w:t>
            </w:r>
          </w:p>
        </w:tc>
        <w:tc>
          <w:tcPr>
            <w:tcW w:w="708" w:type="dxa"/>
            <w:shd w:val="clear" w:color="000000" w:fill="auto"/>
            <w:vAlign w:val="center"/>
          </w:tcPr>
          <w:p w:rsidR="00A00A4B" w:rsidRDefault="00A00A4B">
            <w:pPr>
              <w:spacing w:line="220" w:lineRule="exact"/>
              <w:ind w:left="-63"/>
              <w:jc w:val="left"/>
              <w:rPr>
                <w:rFonts w:ascii="仿宋" w:hAnsi="宋体"/>
                <w:color w:val="000000"/>
              </w:rPr>
            </w:pPr>
          </w:p>
        </w:tc>
      </w:tr>
      <w:tr w:rsidR="00A00A4B">
        <w:trPr>
          <w:trHeight w:val="335"/>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6</w:t>
            </w:r>
            <w:r>
              <w:rPr>
                <w:rFonts w:ascii="仿宋" w:eastAsia="仿宋" w:hAnsi="仿宋"/>
                <w:color w:val="000000"/>
              </w:rPr>
              <w:t>、工作出现问题，在校级或以上单位造成不良影响。</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10/</w:t>
            </w:r>
            <w:r>
              <w:rPr>
                <w:rFonts w:ascii="仿宋" w:eastAsia="仿宋" w:hAnsi="仿宋"/>
                <w:color w:val="000000"/>
              </w:rPr>
              <w:t>次</w:t>
            </w:r>
          </w:p>
        </w:tc>
        <w:tc>
          <w:tcPr>
            <w:tcW w:w="708" w:type="dxa"/>
            <w:shd w:val="clear" w:color="000000" w:fill="auto"/>
            <w:vAlign w:val="center"/>
          </w:tcPr>
          <w:p w:rsidR="00A00A4B" w:rsidRDefault="00A00A4B">
            <w:pPr>
              <w:spacing w:line="220" w:lineRule="exact"/>
              <w:ind w:left="-63"/>
              <w:jc w:val="left"/>
              <w:rPr>
                <w:rFonts w:ascii="仿宋" w:hAnsi="宋体"/>
                <w:color w:val="000000"/>
              </w:rPr>
            </w:pPr>
          </w:p>
        </w:tc>
      </w:tr>
      <w:tr w:rsidR="00A00A4B">
        <w:trPr>
          <w:trHeight w:val="383"/>
        </w:trPr>
        <w:tc>
          <w:tcPr>
            <w:tcW w:w="704" w:type="dxa"/>
            <w:vMerge/>
            <w:shd w:val="clear" w:color="000000" w:fill="auto"/>
            <w:vAlign w:val="center"/>
          </w:tcPr>
          <w:p w:rsidR="00A00A4B" w:rsidRDefault="00A00A4B"/>
        </w:tc>
        <w:tc>
          <w:tcPr>
            <w:tcW w:w="1134" w:type="dxa"/>
            <w:vMerge/>
            <w:shd w:val="clear" w:color="000000" w:fill="auto"/>
            <w:vAlign w:val="center"/>
          </w:tcPr>
          <w:p w:rsidR="00A00A4B" w:rsidRDefault="00A00A4B"/>
        </w:tc>
        <w:tc>
          <w:tcPr>
            <w:tcW w:w="5954" w:type="dxa"/>
            <w:shd w:val="clear" w:color="000000" w:fill="auto"/>
            <w:vAlign w:val="center"/>
          </w:tcPr>
          <w:p w:rsidR="00A00A4B" w:rsidRDefault="001C213F">
            <w:pPr>
              <w:spacing w:line="220" w:lineRule="exact"/>
              <w:ind w:left="-63"/>
              <w:jc w:val="left"/>
              <w:rPr>
                <w:rFonts w:ascii="仿宋" w:hAnsi="宋体"/>
                <w:color w:val="000000"/>
              </w:rPr>
            </w:pPr>
            <w:r>
              <w:rPr>
                <w:rFonts w:ascii="仿宋" w:eastAsia="仿宋" w:hAnsi="仿宋"/>
                <w:color w:val="000000"/>
              </w:rPr>
              <w:t>7</w:t>
            </w:r>
            <w:r>
              <w:rPr>
                <w:rFonts w:ascii="仿宋" w:eastAsia="仿宋" w:hAnsi="仿宋"/>
                <w:color w:val="000000"/>
              </w:rPr>
              <w:t>、上报参评材料弄虚作假。</w:t>
            </w:r>
          </w:p>
        </w:tc>
        <w:tc>
          <w:tcPr>
            <w:tcW w:w="1134" w:type="dxa"/>
            <w:shd w:val="clear" w:color="000000" w:fill="auto"/>
            <w:vAlign w:val="center"/>
          </w:tcPr>
          <w:p w:rsidR="00A00A4B" w:rsidRDefault="001C213F">
            <w:pPr>
              <w:spacing w:line="220" w:lineRule="exact"/>
              <w:ind w:left="-63"/>
              <w:jc w:val="center"/>
              <w:rPr>
                <w:rFonts w:ascii="仿宋" w:hAnsi="宋体"/>
                <w:color w:val="000000"/>
              </w:rPr>
            </w:pPr>
            <w:r>
              <w:rPr>
                <w:rFonts w:ascii="仿宋" w:eastAsia="仿宋" w:hAnsi="仿宋"/>
                <w:color w:val="000000"/>
              </w:rPr>
              <w:t>取消资格</w:t>
            </w:r>
          </w:p>
        </w:tc>
        <w:tc>
          <w:tcPr>
            <w:tcW w:w="708" w:type="dxa"/>
            <w:shd w:val="clear" w:color="000000" w:fill="auto"/>
            <w:vAlign w:val="center"/>
          </w:tcPr>
          <w:p w:rsidR="00A00A4B" w:rsidRDefault="00A00A4B">
            <w:pPr>
              <w:spacing w:line="220" w:lineRule="exact"/>
              <w:ind w:left="-63"/>
              <w:jc w:val="left"/>
              <w:rPr>
                <w:rFonts w:ascii="仿宋" w:hAnsi="宋体"/>
                <w:color w:val="000000"/>
              </w:rPr>
            </w:pPr>
          </w:p>
        </w:tc>
      </w:tr>
    </w:tbl>
    <w:p w:rsidR="00A00A4B" w:rsidRDefault="00A00A4B" w:rsidP="00076677">
      <w:pPr>
        <w:rPr>
          <w:rFonts w:hAnsi="宋体"/>
        </w:rPr>
      </w:pPr>
    </w:p>
    <w:sectPr w:rsidR="00A00A4B" w:rsidSect="00076677">
      <w:headerReference w:type="even" r:id="rId6"/>
      <w:headerReference w:type="default" r:id="rId7"/>
      <w:footerReference w:type="even" r:id="rId8"/>
      <w:footerReference w:type="default" r:id="rId9"/>
      <w:headerReference w:type="first" r:id="rId10"/>
      <w:footerReference w:type="first" r:id="rId11"/>
      <w:pgSz w:w="11906" w:h="16838"/>
      <w:pgMar w:top="1134" w:right="1077" w:bottom="1134" w:left="107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13F" w:rsidRDefault="001C213F">
      <w:r>
        <w:separator/>
      </w:r>
    </w:p>
  </w:endnote>
  <w:endnote w:type="continuationSeparator" w:id="0">
    <w:p w:rsidR="001C213F" w:rsidRDefault="001C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4B" w:rsidRDefault="00A00A4B">
    <w:pPr>
      <w:wordWrap w:val="0"/>
      <w:rPr>
        <w:rFonts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4B" w:rsidRDefault="001C213F">
    <w:pPr>
      <w:wordWrap w:val="0"/>
      <w:jc w:val="center"/>
      <w:rPr>
        <w:rFonts w:hAnsi="宋体"/>
      </w:rPr>
    </w:pPr>
    <w:r>
      <w:rPr>
        <w:rFonts w:hAnsi="宋体"/>
      </w:rPr>
      <w:fldChar w:fldCharType="begin"/>
    </w:r>
    <w:r>
      <w:instrText>PAGE  \* MERGEFORMAT</w:instrText>
    </w:r>
    <w:r>
      <w:fldChar w:fldCharType="separate"/>
    </w:r>
    <w:r w:rsidR="00076677" w:rsidRPr="00076677">
      <w:rPr>
        <w:rFonts w:hAnsi="宋体"/>
        <w:noProof/>
      </w:rPr>
      <w:t>1</w:t>
    </w:r>
    <w:r>
      <w:rPr>
        <w:rFonts w:hAnsi="宋体"/>
      </w:rPr>
      <w:fldChar w:fldCharType="end"/>
    </w:r>
  </w:p>
  <w:p w:rsidR="00A00A4B" w:rsidRDefault="00A00A4B">
    <w:pPr>
      <w:wordWrap w:val="0"/>
      <w:rPr>
        <w:rFonts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4B" w:rsidRDefault="00A00A4B">
    <w:pPr>
      <w:wordWrap w:val="0"/>
      <w:rPr>
        <w:rFonts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13F" w:rsidRDefault="001C213F">
      <w:r>
        <w:separator/>
      </w:r>
    </w:p>
  </w:footnote>
  <w:footnote w:type="continuationSeparator" w:id="0">
    <w:p w:rsidR="001C213F" w:rsidRDefault="001C2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4B" w:rsidRDefault="00A00A4B">
    <w:pPr>
      <w:wordWrap w:val="0"/>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4B" w:rsidRDefault="00A00A4B">
    <w:pPr>
      <w:wordWrap w:val="0"/>
      <w:rPr>
        <w:rFonts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4B" w:rsidRDefault="00A00A4B">
    <w:pPr>
      <w:wordWrap w:val="0"/>
      <w:rPr>
        <w:rFonts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
  <w:rsids>
    <w:rsidRoot w:val="00A00A4B"/>
    <w:rsid w:val="00076677"/>
    <w:rsid w:val="001C213F"/>
    <w:rsid w:val="002875C0"/>
    <w:rsid w:val="00A00A4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2CF88B-D38E-4476-A2A7-B52D2862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style>
  <w:style w:type="paragraph" w:styleId="3">
    <w:name w:val="heading 3"/>
    <w:uiPriority w:val="9"/>
    <w:qFormat/>
    <w:pPr>
      <w:ind w:left="1000" w:hanging="400"/>
      <w:jc w:val="both"/>
      <w:outlineLvl w:val="2"/>
    </w:pPr>
  </w:style>
  <w:style w:type="paragraph" w:styleId="4">
    <w:name w:val="heading 4"/>
    <w:uiPriority w:val="10"/>
    <w:qFormat/>
    <w:pPr>
      <w:ind w:left="1200" w:hanging="400"/>
      <w:jc w:val="both"/>
      <w:outlineLvl w:val="3"/>
    </w:pPr>
    <w:rPr>
      <w:b/>
    </w:rPr>
  </w:style>
  <w:style w:type="paragraph" w:styleId="5">
    <w:name w:val="heading 5"/>
    <w:uiPriority w:val="11"/>
    <w:qFormat/>
    <w:pPr>
      <w:ind w:left="1400" w:hanging="400"/>
      <w:jc w:val="both"/>
      <w:outlineLvl w:val="4"/>
    </w:pPr>
  </w:style>
  <w:style w:type="paragraph" w:styleId="6">
    <w:name w:val="heading 6"/>
    <w:uiPriority w:val="12"/>
    <w:qFormat/>
    <w:pPr>
      <w:ind w:left="1600" w:hanging="400"/>
      <w:jc w:val="both"/>
      <w:outlineLvl w:val="5"/>
    </w:pPr>
    <w:rPr>
      <w:b/>
    </w:rPr>
  </w:style>
  <w:style w:type="paragraph" w:styleId="7">
    <w:name w:val="heading 7"/>
    <w:uiPriority w:val="13"/>
    <w:qFormat/>
    <w:pPr>
      <w:ind w:left="1800" w:hanging="400"/>
      <w:jc w:val="both"/>
      <w:outlineLvl w:val="6"/>
    </w:pPr>
  </w:style>
  <w:style w:type="paragraph" w:styleId="8">
    <w:name w:val="heading 8"/>
    <w:uiPriority w:val="14"/>
    <w:qFormat/>
    <w:pPr>
      <w:ind w:left="2000" w:hanging="400"/>
      <w:jc w:val="both"/>
      <w:outlineLvl w:val="7"/>
    </w:pPr>
  </w:style>
  <w:style w:type="paragraph" w:styleId="9">
    <w:name w:val="heading 9"/>
    <w:uiPriority w:val="15"/>
    <w:qFormat/>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rPr>
  </w:style>
  <w:style w:type="paragraph" w:styleId="ab">
    <w:name w:val="Intense Quote"/>
    <w:uiPriority w:val="22"/>
    <w:qFormat/>
    <w:pPr>
      <w:ind w:left="950" w:right="950"/>
      <w:jc w:val="center"/>
    </w:pPr>
    <w:rPr>
      <w:i/>
      <w:color w:val="5B9BD5"/>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uiPriority w:val="26"/>
    <w:qFormat/>
    <w:pPr>
      <w:ind w:left="850"/>
      <w:jc w:val="both"/>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style>
  <w:style w:type="paragraph" w:styleId="20">
    <w:name w:val="toc 2"/>
    <w:uiPriority w:val="29"/>
    <w:unhideWhenUsed/>
    <w:qFormat/>
    <w:pPr>
      <w:ind w:left="425"/>
      <w:jc w:val="both"/>
    </w:pPr>
  </w:style>
  <w:style w:type="paragraph" w:styleId="30">
    <w:name w:val="toc 3"/>
    <w:uiPriority w:val="30"/>
    <w:unhideWhenUsed/>
    <w:qFormat/>
    <w:pPr>
      <w:ind w:left="850"/>
      <w:jc w:val="both"/>
    </w:pPr>
  </w:style>
  <w:style w:type="paragraph" w:styleId="40">
    <w:name w:val="toc 4"/>
    <w:uiPriority w:val="31"/>
    <w:unhideWhenUsed/>
    <w:qFormat/>
    <w:pPr>
      <w:ind w:left="1275"/>
      <w:jc w:val="both"/>
    </w:pPr>
  </w:style>
  <w:style w:type="paragraph" w:styleId="50">
    <w:name w:val="toc 5"/>
    <w:uiPriority w:val="32"/>
    <w:unhideWhenUsed/>
    <w:qFormat/>
    <w:pPr>
      <w:ind w:left="1700"/>
      <w:jc w:val="both"/>
    </w:pPr>
  </w:style>
  <w:style w:type="paragraph" w:styleId="60">
    <w:name w:val="toc 6"/>
    <w:uiPriority w:val="33"/>
    <w:unhideWhenUsed/>
    <w:qFormat/>
    <w:pPr>
      <w:ind w:left="2125"/>
      <w:jc w:val="both"/>
    </w:pPr>
  </w:style>
  <w:style w:type="paragraph" w:styleId="70">
    <w:name w:val="toc 7"/>
    <w:uiPriority w:val="34"/>
    <w:unhideWhenUsed/>
    <w:qFormat/>
    <w:pPr>
      <w:ind w:left="2550"/>
      <w:jc w:val="both"/>
    </w:pPr>
  </w:style>
  <w:style w:type="paragraph" w:styleId="80">
    <w:name w:val="toc 8"/>
    <w:uiPriority w:val="35"/>
    <w:unhideWhenUsed/>
    <w:qFormat/>
    <w:pPr>
      <w:ind w:left="2975"/>
      <w:jc w:val="both"/>
    </w:pPr>
  </w:style>
  <w:style w:type="paragraph" w:styleId="90">
    <w:name w:val="toc 9"/>
    <w:uiPriority w:val="36"/>
    <w:unhideWhenUsed/>
    <w:qFormat/>
    <w:pPr>
      <w:ind w:left="3400"/>
      <w:jc w:val="both"/>
    </w:pPr>
  </w:style>
  <w:style w:type="paragraph" w:styleId="af0">
    <w:name w:val="header"/>
    <w:basedOn w:val="a"/>
    <w:link w:val="Char"/>
    <w:unhideWhenUsed/>
    <w:pPr>
      <w:tabs>
        <w:tab w:val="center" w:pos="4153"/>
        <w:tab w:val="right" w:pos="8306"/>
      </w:tabs>
      <w:jc w:val="center"/>
    </w:pPr>
    <w:rPr>
      <w:sz w:val="18"/>
      <w:szCs w:val="18"/>
    </w:rPr>
  </w:style>
  <w:style w:type="character" w:customStyle="1" w:styleId="Char">
    <w:name w:val="页眉 Char"/>
    <w:basedOn w:val="a0"/>
    <w:link w:val="af0"/>
    <w:rPr>
      <w:w w:val="100"/>
      <w:sz w:val="18"/>
      <w:szCs w:val="18"/>
      <w:shd w:val="clear" w:color="auto" w:fill="auto"/>
    </w:rPr>
  </w:style>
  <w:style w:type="paragraph" w:styleId="af1">
    <w:name w:val="footer"/>
    <w:basedOn w:val="a"/>
    <w:link w:val="Char0"/>
    <w:unhideWhenUsed/>
    <w:pPr>
      <w:tabs>
        <w:tab w:val="center" w:pos="4153"/>
        <w:tab w:val="right" w:pos="8306"/>
      </w:tabs>
    </w:pPr>
    <w:rPr>
      <w:sz w:val="18"/>
      <w:szCs w:val="18"/>
    </w:rPr>
  </w:style>
  <w:style w:type="character" w:customStyle="1" w:styleId="Char0">
    <w:name w:val="页脚 Char"/>
    <w:basedOn w:val="a0"/>
    <w:link w:val="af1"/>
    <w:rPr>
      <w:w w:val="1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0</DocSecurity>
  <Lines>16</Lines>
  <Paragraphs>4</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瘾仙森</dc:creator>
  <cp:lastModifiedBy>LENOVO</cp:lastModifiedBy>
  <cp:revision>5</cp:revision>
  <dcterms:created xsi:type="dcterms:W3CDTF">2019-04-08T04:20:00Z</dcterms:created>
  <dcterms:modified xsi:type="dcterms:W3CDTF">2019-04-08T04:21:00Z</dcterms:modified>
</cp:coreProperties>
</file>